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遵义市妇幼保健院</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医用织物洗涤服务需求参数</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我院医用织物洗涤共有24类，年洗涤142307件。中标人需为医院提供各类医用织物的分类收集、密闭运输、专业洗涤、规范消毒、烘干熨烫、修补折叠、分类配送等质量保障全流程服务。</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项目参数</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（一）收送管理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1.上门取送:根据医院需求，定时定点(原则上不少于两次，即上午8:30，下午17:00左右)上门收取待洗织物，并送达干净织物。</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2.数量核对:每次收送都有专人清点，确保数量准确，并双方签字确认。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3.分类装载:将不同科室、不同类型的待洗织物分开装载，避免交叉污染。</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4.响应时限:结合医院运维管理实际，合理对接收送时间点，确保收送及时能保障科室业务需求。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（二）洗涤消毒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1.预分类:严格按照污染程度、颜色、材质进行分类。</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2.预处理:对有血渍、排泄物、药渍、污渍的织物进行特殊处理。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3.专业洗涤:使用医用级洗涤剂和消毒剂，控制水温、时间和酸碱度。</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4.高温消毒:通过高温洗涤(通常≥80°C)和高温烘干(通常≥60°C)达到消毒标准。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5.化学消毒:在洗涤过程中加入符合标准的消毒剂，确保杀灭细菌和病毒。</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(三)后处理与质量检查</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1.烘干熨烫:确保织物干燥、平整，达到使用要求。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2.折叠整理:按照医院标准进行折叠、打包，方便清点和发放。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3.质量检查:专人检查织物的洁净度、破损情况，不合格品单独处理。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（四）特殊处理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1.感染性织物:按照医疗废弃物处理规定，用专用容器密封收集和运输，进行单独、更严格的消毒灭菌处理。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lang w:val="en-US" w:eastAsia="zh-CN"/>
        </w:rPr>
        <w:t>2.破损处理:对破</w:t>
      </w:r>
      <w:r>
        <w:rPr>
          <w:rFonts w:hint="eastAsia" w:ascii="仿宋_GB2312" w:hAnsi="仿宋_GB2312" w:eastAsia="仿宋_GB2312" w:cs="仿宋_GB2312"/>
          <w:sz w:val="30"/>
          <w:szCs w:val="30"/>
          <w:lang w:val="en-US" w:eastAsia="zh-CN"/>
        </w:rPr>
        <w:t>损、达到使用寿命的织物进行登记，并提供更换建议。</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3.损坏处理:介定为洗涤环节导致损坏的，原价赔偿。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（五）洗涤要求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1.洗涤需严格</w:t>
      </w:r>
      <w:r>
        <w:rPr>
          <w:rFonts w:hint="default" w:ascii="仿宋_GB2312" w:hAnsi="仿宋_GB2312" w:eastAsia="仿宋_GB2312" w:cs="仿宋_GB2312"/>
          <w:sz w:val="32"/>
          <w:szCs w:val="32"/>
          <w:lang w:val="en-US" w:eastAsia="zh-CN"/>
        </w:rPr>
        <w:t>按照WS/T508-20</w:t>
      </w:r>
      <w:r>
        <w:rPr>
          <w:rFonts w:hint="eastAsia" w:ascii="仿宋_GB2312" w:hAnsi="仿宋_GB2312" w:eastAsia="仿宋_GB2312" w:cs="仿宋_GB2312"/>
          <w:sz w:val="32"/>
          <w:szCs w:val="32"/>
          <w:lang w:val="en-US" w:eastAsia="zh-CN"/>
        </w:rPr>
        <w:t>25</w:t>
      </w:r>
      <w:r>
        <w:rPr>
          <w:rFonts w:hint="default"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lang w:val="en-US" w:eastAsia="zh-CN"/>
        </w:rPr>
        <w:t>医用织物</w:t>
      </w:r>
      <w:r>
        <w:rPr>
          <w:rFonts w:hint="default" w:ascii="仿宋_GB2312" w:hAnsi="仿宋_GB2312" w:eastAsia="仿宋_GB2312" w:cs="仿宋_GB2312"/>
          <w:sz w:val="32"/>
          <w:szCs w:val="32"/>
          <w:lang w:val="en-US" w:eastAsia="zh-CN"/>
        </w:rPr>
        <w:t>洗涤消毒技术规范》的标准进行</w:t>
      </w:r>
      <w:r>
        <w:rPr>
          <w:rFonts w:hint="eastAsia" w:ascii="仿宋_GB2312" w:hAnsi="仿宋_GB2312" w:eastAsia="仿宋_GB2312" w:cs="仿宋_GB2312"/>
          <w:sz w:val="32"/>
          <w:szCs w:val="32"/>
          <w:lang w:val="en-US" w:eastAsia="zh-CN"/>
        </w:rPr>
        <w:t>洗涤</w:t>
      </w:r>
      <w:r>
        <w:rPr>
          <w:rFonts w:hint="default" w:ascii="仿宋_GB2312" w:hAnsi="仿宋_GB2312" w:eastAsia="仿宋_GB2312" w:cs="仿宋_GB2312"/>
          <w:sz w:val="32"/>
          <w:szCs w:val="32"/>
          <w:lang w:val="en-US" w:eastAsia="zh-CN"/>
        </w:rPr>
        <w:t>。保证织物清洁度和纺织品合格率达标，合格率达到98.5%，消毒合格率达到100%。</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洗涤后的织物应无异味、无明显污渍、无破损，手感柔软且符合医用织物的卫生标准。对于手术室、产房等特殊区域的高风险医用织物，需采用独立的洗涤流程，并进行更为严格的消毒处理，确保每批次洗涤后均能提供符合要求的消毒检测报告。同时，洗涤过程中使用的洗涤剂、消毒剂等产品必须符合国家相关标准，且对织物无损害，不影响其使用性能和寿命。</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标人每天给医院运送洗涤干净后的医用纺织品，并收取脏污医用纺织品，所有医用纺织品均使用标准化货车运送，医用纺织品按类型分类装于密封的布草袋中，干净医用纺织品布草袋均须有封签，保证运输过程中不会产生二次污染。所有车辆、人员、布草袋回洗涤厂后均按国家WS/T367规范要求进行消毒处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（一）合作期限：项目服务期为3年，合同一年一签。上一年服务期满前，经考核合格后，甲乙双方续签下一年合同。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履约保证金：按照采购相关规定收取10%履约保证金，该保证金在中标人履行合同义务期间保持有效，用于保障其严格遵守合同约定的各项条款。若中标人在服务期内出现违约行为，如未按标准完成洗涤消毒、运输过程造成污染、未能按时交付洁净织物等情况，医院有权根据违约情节轻重从履约保证金中扣除相应金额作为违约金。合同期满且中标人无任何违约行为、完成所有服务内容并通过最终验收后，医院将在规定期限内无息退还该笔保证金。</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（三）考核标准及要求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为监督外包服务商有效保障完成院内洗涤服务工作，拟定以下服务考核办法。考核结果作为界定外包服务商是否有效履约，达到合格服务的量化指标。本考核办法为不定期随机考核内容。</w:t>
      </w:r>
    </w:p>
    <w:tbl>
      <w:tblPr>
        <w:tblStyle w:val="2"/>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37"/>
        <w:gridCol w:w="651"/>
        <w:gridCol w:w="672"/>
        <w:gridCol w:w="815"/>
        <w:gridCol w:w="238"/>
        <w:gridCol w:w="840"/>
        <w:gridCol w:w="1457"/>
        <w:gridCol w:w="2220"/>
        <w:gridCol w:w="1789"/>
        <w:gridCol w:w="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137" w:type="dxa"/>
          <w:trHeight w:val="549" w:hRule="atLeast"/>
          <w:tblHeader/>
          <w:jc w:val="center"/>
        </w:trPr>
        <w:tc>
          <w:tcPr>
            <w:tcW w:w="1323"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考核</w:t>
            </w:r>
            <w:r>
              <w:rPr>
                <w:rFonts w:hint="eastAsia" w:ascii="宋体" w:hAnsi="宋体" w:eastAsia="宋体" w:cs="宋体"/>
                <w:b/>
                <w:bCs/>
                <w:caps w:val="0"/>
                <w:spacing w:val="0"/>
                <w:kern w:val="0"/>
                <w:sz w:val="24"/>
                <w:szCs w:val="24"/>
                <w:lang w:val="en-US" w:eastAsia="zh-CN" w:bidi="ar"/>
              </w:rPr>
              <w:t>目录</w:t>
            </w:r>
          </w:p>
        </w:tc>
        <w:tc>
          <w:tcPr>
            <w:tcW w:w="815" w:type="dxa"/>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满分</w:t>
            </w:r>
          </w:p>
        </w:tc>
        <w:tc>
          <w:tcPr>
            <w:tcW w:w="2535" w:type="dxa"/>
            <w:gridSpan w:val="3"/>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考核内容</w:t>
            </w:r>
          </w:p>
        </w:tc>
        <w:tc>
          <w:tcPr>
            <w:tcW w:w="2220" w:type="dxa"/>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扣分规则</w:t>
            </w:r>
          </w:p>
        </w:tc>
        <w:tc>
          <w:tcPr>
            <w:tcW w:w="1926"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ascii="宋体" w:hAnsi="宋体" w:eastAsia="宋体" w:cs="宋体"/>
                <w:b/>
                <w:bCs/>
                <w:caps w:val="0"/>
                <w:spacing w:val="0"/>
                <w:kern w:val="0"/>
                <w:sz w:val="24"/>
                <w:szCs w:val="24"/>
                <w:lang w:val="en-US" w:eastAsia="zh-CN" w:bidi="ar"/>
              </w:rPr>
            </w:pPr>
            <w:r>
              <w:rPr>
                <w:rFonts w:hint="eastAsia" w:ascii="宋体" w:hAnsi="宋体" w:eastAsia="宋体" w:cs="宋体"/>
                <w:b/>
                <w:bCs/>
                <w:caps w:val="0"/>
                <w:spacing w:val="0"/>
                <w:kern w:val="0"/>
                <w:sz w:val="24"/>
                <w:szCs w:val="24"/>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137" w:type="dxa"/>
          <w:trHeight w:val="851" w:hRule="atLeast"/>
          <w:jc w:val="center"/>
        </w:trPr>
        <w:tc>
          <w:tcPr>
            <w:tcW w:w="1323"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下收下送时效</w:t>
            </w:r>
          </w:p>
        </w:tc>
        <w:tc>
          <w:tcPr>
            <w:tcW w:w="815" w:type="dxa"/>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2</w:t>
            </w:r>
            <w:r>
              <w:rPr>
                <w:rFonts w:hint="eastAsia" w:ascii="宋体" w:hAnsi="宋体" w:eastAsia="宋体" w:cs="宋体"/>
                <w:caps w:val="0"/>
                <w:spacing w:val="0"/>
                <w:kern w:val="0"/>
                <w:sz w:val="24"/>
                <w:szCs w:val="24"/>
                <w:lang w:val="en-US" w:eastAsia="zh-CN" w:bidi="ar"/>
              </w:rPr>
              <w:t>0</w:t>
            </w:r>
            <w:r>
              <w:rPr>
                <w:rFonts w:ascii="宋体" w:hAnsi="宋体" w:eastAsia="宋体" w:cs="宋体"/>
                <w:caps w:val="0"/>
                <w:spacing w:val="0"/>
                <w:kern w:val="0"/>
                <w:sz w:val="24"/>
                <w:szCs w:val="24"/>
                <w:lang w:val="en-US" w:eastAsia="zh-CN" w:bidi="ar"/>
              </w:rPr>
              <w:t>分</w:t>
            </w:r>
          </w:p>
        </w:tc>
        <w:tc>
          <w:tcPr>
            <w:tcW w:w="2535" w:type="dxa"/>
            <w:gridSpan w:val="3"/>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caps w:val="0"/>
                <w:spacing w:val="0"/>
                <w:lang w:val="en-US"/>
              </w:rPr>
            </w:pPr>
            <w:r>
              <w:rPr>
                <w:rFonts w:ascii="宋体" w:hAnsi="宋体" w:eastAsia="宋体" w:cs="宋体"/>
                <w:caps w:val="0"/>
                <w:spacing w:val="0"/>
                <w:kern w:val="0"/>
                <w:sz w:val="24"/>
                <w:szCs w:val="24"/>
                <w:lang w:val="en-US" w:eastAsia="zh-CN" w:bidi="ar"/>
              </w:rPr>
              <w:t>非不可抗力未按时送洁净纺织品至</w:t>
            </w:r>
            <w:r>
              <w:rPr>
                <w:rFonts w:hint="eastAsia" w:ascii="宋体" w:hAnsi="宋体" w:eastAsia="宋体" w:cs="宋体"/>
                <w:caps w:val="0"/>
                <w:spacing w:val="0"/>
                <w:kern w:val="0"/>
                <w:sz w:val="24"/>
                <w:szCs w:val="24"/>
                <w:lang w:val="en-US" w:eastAsia="zh-CN" w:bidi="ar"/>
              </w:rPr>
              <w:t>医院</w:t>
            </w:r>
            <w:r>
              <w:rPr>
                <w:rFonts w:ascii="宋体" w:hAnsi="宋体" w:eastAsia="宋体" w:cs="宋体"/>
                <w:caps w:val="0"/>
                <w:spacing w:val="0"/>
                <w:kern w:val="0"/>
                <w:sz w:val="24"/>
                <w:szCs w:val="24"/>
                <w:lang w:val="en-US" w:eastAsia="zh-CN" w:bidi="ar"/>
              </w:rPr>
              <w:t>、影响</w:t>
            </w:r>
            <w:r>
              <w:rPr>
                <w:rFonts w:hint="eastAsia" w:ascii="宋体" w:hAnsi="宋体" w:eastAsia="宋体" w:cs="宋体"/>
                <w:caps w:val="0"/>
                <w:spacing w:val="0"/>
                <w:kern w:val="0"/>
                <w:sz w:val="24"/>
                <w:szCs w:val="24"/>
                <w:lang w:val="en-US" w:eastAsia="zh-CN" w:bidi="ar"/>
              </w:rPr>
              <w:t>医院正常工作开展。</w:t>
            </w:r>
          </w:p>
        </w:tc>
        <w:tc>
          <w:tcPr>
            <w:tcW w:w="2220" w:type="dxa"/>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caps w:val="0"/>
                <w:spacing w:val="0"/>
                <w:lang w:val="en-US"/>
              </w:rPr>
            </w:pPr>
            <w:r>
              <w:rPr>
                <w:rFonts w:ascii="宋体" w:hAnsi="宋体" w:eastAsia="宋体" w:cs="宋体"/>
                <w:caps w:val="0"/>
                <w:spacing w:val="0"/>
                <w:kern w:val="0"/>
                <w:sz w:val="24"/>
                <w:szCs w:val="24"/>
                <w:lang w:val="en-US" w:eastAsia="zh-CN" w:bidi="ar"/>
              </w:rPr>
              <w:t>一次扣 5 分，最高扣 20 分</w:t>
            </w:r>
            <w:r>
              <w:rPr>
                <w:rFonts w:hint="eastAsia" w:ascii="宋体" w:hAnsi="宋体" w:eastAsia="宋体" w:cs="宋体"/>
                <w:caps w:val="0"/>
                <w:spacing w:val="0"/>
                <w:kern w:val="0"/>
                <w:sz w:val="24"/>
                <w:szCs w:val="24"/>
                <w:lang w:val="en-US" w:eastAsia="zh-CN" w:bidi="ar"/>
              </w:rPr>
              <w:t>。</w:t>
            </w:r>
          </w:p>
        </w:tc>
        <w:tc>
          <w:tcPr>
            <w:tcW w:w="1926"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累计满4次，医院有权自主解除合同，履约保证金概不退还。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137" w:type="dxa"/>
          <w:trHeight w:val="851" w:hRule="atLeast"/>
          <w:jc w:val="center"/>
        </w:trPr>
        <w:tc>
          <w:tcPr>
            <w:tcW w:w="1323"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感控检测</w:t>
            </w:r>
          </w:p>
        </w:tc>
        <w:tc>
          <w:tcPr>
            <w:tcW w:w="815" w:type="dxa"/>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50分</w:t>
            </w:r>
          </w:p>
        </w:tc>
        <w:tc>
          <w:tcPr>
            <w:tcW w:w="2535" w:type="dxa"/>
            <w:gridSpan w:val="3"/>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质量管理、库房、运送、专机洗涤、洗涤过程、感染预洗、技能、环境、人员防护、痕迹管理</w:t>
            </w:r>
          </w:p>
        </w:tc>
        <w:tc>
          <w:tcPr>
            <w:tcW w:w="2220" w:type="dxa"/>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按项扣分，详见</w:t>
            </w:r>
            <w:r>
              <w:rPr>
                <w:rFonts w:hint="eastAsia" w:ascii="宋体" w:hAnsi="宋体" w:eastAsia="宋体" w:cs="宋体"/>
                <w:caps w:val="0"/>
                <w:spacing w:val="0"/>
                <w:kern w:val="0"/>
                <w:sz w:val="24"/>
                <w:szCs w:val="24"/>
                <w:lang w:val="en-US" w:eastAsia="zh-CN" w:bidi="ar"/>
              </w:rPr>
              <w:t>分表</w:t>
            </w:r>
          </w:p>
        </w:tc>
        <w:tc>
          <w:tcPr>
            <w:tcW w:w="1926"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rFonts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累计扣满50分，医院有权自主解除合同，履约保证金概不退还。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Before w:val="1"/>
          <w:wBefore w:w="137" w:type="dxa"/>
          <w:trHeight w:val="865" w:hRule="atLeast"/>
          <w:jc w:val="center"/>
        </w:trPr>
        <w:tc>
          <w:tcPr>
            <w:tcW w:w="1323"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满意度投诉</w:t>
            </w:r>
          </w:p>
        </w:tc>
        <w:tc>
          <w:tcPr>
            <w:tcW w:w="815" w:type="dxa"/>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30分</w:t>
            </w:r>
          </w:p>
        </w:tc>
        <w:tc>
          <w:tcPr>
            <w:tcW w:w="2535" w:type="dxa"/>
            <w:gridSpan w:val="3"/>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下收下送服务态度引发投诉</w:t>
            </w:r>
          </w:p>
        </w:tc>
        <w:tc>
          <w:tcPr>
            <w:tcW w:w="2220" w:type="dxa"/>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一次扣 5 分，最高扣 30 分</w:t>
            </w:r>
          </w:p>
        </w:tc>
        <w:tc>
          <w:tcPr>
            <w:tcW w:w="1926" w:type="dxa"/>
            <w:gridSpan w:val="2"/>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ascii="宋体" w:hAnsi="宋体" w:eastAsia="宋体" w:cs="宋体"/>
                <w:caps w:val="0"/>
                <w:spacing w:val="0"/>
                <w:kern w:val="0"/>
                <w:sz w:val="24"/>
                <w:szCs w:val="24"/>
                <w:lang w:val="en-US" w:eastAsia="zh-CN" w:bidi="ar"/>
              </w:rPr>
            </w:pPr>
            <w:r>
              <w:rPr>
                <w:rFonts w:hint="eastAsia" w:ascii="宋体" w:hAnsi="宋体" w:eastAsia="宋体" w:cs="宋体"/>
                <w:caps w:val="0"/>
                <w:spacing w:val="0"/>
                <w:kern w:val="0"/>
                <w:sz w:val="24"/>
                <w:szCs w:val="24"/>
                <w:lang w:val="en-US" w:eastAsia="zh-CN" w:bidi="ar"/>
              </w:rPr>
              <w:t>累计投诉5次，医院有权自主解除合同，履约保证金概不退还。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tblHeader/>
          <w:jc w:val="center"/>
        </w:trPr>
        <w:tc>
          <w:tcPr>
            <w:tcW w:w="8819" w:type="dxa"/>
            <w:gridSpan w:val="9"/>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rFonts w:hint="default" w:ascii="宋体" w:hAnsi="宋体" w:eastAsia="宋体" w:cs="宋体"/>
                <w:b/>
                <w:bCs/>
                <w:caps w:val="0"/>
                <w:spacing w:val="0"/>
                <w:kern w:val="0"/>
                <w:sz w:val="24"/>
                <w:szCs w:val="24"/>
                <w:lang w:val="en-US" w:eastAsia="zh-CN" w:bidi="ar"/>
              </w:rPr>
            </w:pPr>
            <w:r>
              <w:rPr>
                <w:rFonts w:ascii="宋体" w:hAnsi="宋体" w:eastAsia="宋体" w:cs="宋体"/>
                <w:caps w:val="0"/>
                <w:spacing w:val="0"/>
                <w:kern w:val="0"/>
                <w:sz w:val="24"/>
                <w:szCs w:val="24"/>
                <w:lang w:val="en-US" w:eastAsia="zh-CN" w:bidi="ar"/>
              </w:rPr>
              <w:t>感控检测</w:t>
            </w:r>
            <w:r>
              <w:rPr>
                <w:rFonts w:hint="eastAsia" w:ascii="宋体" w:hAnsi="宋体" w:eastAsia="宋体" w:cs="宋体"/>
                <w:caps w:val="0"/>
                <w:spacing w:val="0"/>
                <w:kern w:val="0"/>
                <w:sz w:val="24"/>
                <w:szCs w:val="24"/>
                <w:lang w:val="en-US" w:eastAsia="zh-CN" w:bidi="ar"/>
              </w:rPr>
              <w:t>考核标准（50分）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tblHeader/>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序号</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考核项目</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分值</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考核要求</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b/>
                <w:bCs/>
                <w:caps w:val="0"/>
                <w:spacing w:val="0"/>
              </w:rPr>
            </w:pPr>
            <w:r>
              <w:rPr>
                <w:rFonts w:ascii="宋体" w:hAnsi="宋体" w:eastAsia="宋体" w:cs="宋体"/>
                <w:b/>
                <w:bCs/>
                <w:caps w:val="0"/>
                <w:spacing w:val="0"/>
                <w:kern w:val="0"/>
                <w:sz w:val="24"/>
                <w:szCs w:val="24"/>
                <w:lang w:val="en-US" w:eastAsia="zh-CN" w:bidi="ar"/>
              </w:rPr>
              <w:t>扣分标准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1</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质量管理</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10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外观整洁干燥无破损无污渍；菌落≤200cFu/100cm²，无致病菌</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10 分；检出致病菌全扣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2</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织物周转库房</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分区独立、环境清洁、交接后消毒、存放离地离墙距顶合规</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3</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运送管理</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密闭运输、分类收集、织物袋一用一消毒、不落地</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4</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新生儿 / 手术室 / 抹布洗涤</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专机单独洗涤、区域清洁</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洗涤过程管理</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75℃/30min 或 80℃/10min；设备及时消毒</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6</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感染性织物预洗</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专机洗涤；消毒剂浓度合规，消毒≥10min</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7</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感控知识技能</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5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掌握洗涤消毒、设备操作、感控知识</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5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8</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环境卫生管理</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4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地面墙面合规、每日保洁消毒、防蝇防鼠</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4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137" w:type="dxa"/>
          <w:trHeight w:val="956" w:hRule="atLeast"/>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9</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人员防护要求</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4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防护用品不交叉、污染区 / 清洁区防护合规、手卫生</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4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wAfter w:w="137" w:type="dxa"/>
          <w:jc w:val="center"/>
        </w:trPr>
        <w:tc>
          <w:tcPr>
            <w:tcW w:w="788"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10</w:t>
            </w:r>
          </w:p>
        </w:tc>
        <w:tc>
          <w:tcPr>
            <w:tcW w:w="1725" w:type="dxa"/>
            <w:gridSpan w:val="3"/>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痕迹管理</w:t>
            </w:r>
          </w:p>
        </w:tc>
        <w:tc>
          <w:tcPr>
            <w:tcW w:w="84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2 分</w:t>
            </w:r>
          </w:p>
        </w:tc>
        <w:tc>
          <w:tcPr>
            <w:tcW w:w="3677"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记录完整可追溯、保存≥6 个月、一式三份</w:t>
            </w:r>
          </w:p>
        </w:tc>
        <w:tc>
          <w:tcPr>
            <w:tcW w:w="17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pPr>
              <w:keepNext w:val="0"/>
              <w:keepLines w:val="0"/>
              <w:widowControl/>
              <w:suppressLineNumbers w:val="0"/>
              <w:jc w:val="center"/>
              <w:rPr>
                <w:caps w:val="0"/>
                <w:spacing w:val="0"/>
              </w:rPr>
            </w:pPr>
            <w:r>
              <w:rPr>
                <w:rFonts w:ascii="宋体" w:hAnsi="宋体" w:eastAsia="宋体" w:cs="宋体"/>
                <w:caps w:val="0"/>
                <w:spacing w:val="0"/>
                <w:kern w:val="0"/>
                <w:sz w:val="24"/>
                <w:szCs w:val="24"/>
                <w:lang w:val="en-US" w:eastAsia="zh-CN" w:bidi="ar"/>
              </w:rPr>
              <w:t>一项不合格扣 2 分</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需求清单：</w:t>
      </w:r>
    </w:p>
    <w:tbl>
      <w:tblPr>
        <w:tblStyle w:val="2"/>
        <w:tblW w:w="86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5"/>
        <w:gridCol w:w="2156"/>
        <w:gridCol w:w="2517"/>
        <w:gridCol w:w="28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品类</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洗涤单价（元／件）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小被套</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帘子</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棉絮</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床单</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250x180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被套</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200x160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枕套</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75x50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衣服</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XL、XXL</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裤子</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XL、XXL</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小衣</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白片</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100x100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中单</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 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约束带</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小包被</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毛巾</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65/80x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套子</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包布</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80x80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长形被</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120x100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孔单</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100/50x</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大洞巾</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280x230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治疗巾</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90x60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小包布</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40x40</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手术衣</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XL、XXL</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裙子</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1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带子</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EC888C"/>
    <w:multiLevelType w:val="singleLevel"/>
    <w:tmpl w:val="79EC88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21F46"/>
    <w:rsid w:val="0CD2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2026-07-21T07:57:00Z</dcterms:created>
  <dc:creator>陈国盛</dc:creator>
  <cp:lastModifiedBy>陈国盛</cp:lastModifiedBy>
  <dcterms:modified xsi:type="dcterms:W3CDTF">2026-07-21T07:58:40Z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BD6C608075D54AD69194A6B7C81EFB0C</vt:lpwstr>
  </property>
</Properties>
</file>